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1672" w:tblpY="908"/>
        <w:tblOverlap w:val="never"/>
        <w:tblW w:w="9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367"/>
        <w:gridCol w:w="2821"/>
        <w:gridCol w:w="1148"/>
        <w:gridCol w:w="2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cantSplit/>
        </w:trPr>
        <w:tc>
          <w:tcPr>
            <w:tcW w:w="9440" w:type="dxa"/>
            <w:gridSpan w:val="4"/>
            <w:vAlign w:val="top"/>
          </w:tcPr>
          <w:p>
            <w:pPr>
              <w:spacing w:line="276" w:lineRule="auto"/>
              <w:jc w:val="center"/>
              <w:rPr>
                <w:b/>
                <w:sz w:val="28"/>
                <w:szCs w:val="28"/>
              </w:rPr>
            </w:pPr>
            <w:r>
              <w:rPr>
                <w:b/>
                <w:sz w:val="28"/>
                <w:szCs w:val="28"/>
              </w:rPr>
              <w:t xml:space="preserve">    ТЕРРИТОРИАЛЬНАЯ ИЗБИРАТЕЛЬНАЯ КОМИССИЯ АЛЕКСИНСКОГО РАЙОНА  ТУЛЬСКОЙ ОБЛАСТИ</w:t>
            </w:r>
          </w:p>
          <w:p>
            <w:pPr>
              <w:spacing w:line="276" w:lineRule="auto"/>
              <w:jc w:val="center"/>
              <w:rPr>
                <w:b/>
                <w:sz w:val="28"/>
                <w:szCs w:val="28"/>
              </w:rPr>
            </w:pPr>
          </w:p>
          <w:p>
            <w:pPr>
              <w:spacing w:line="276" w:lineRule="auto"/>
              <w:jc w:val="center"/>
              <w:rPr>
                <w:b/>
                <w:sz w:val="28"/>
                <w:szCs w:val="28"/>
              </w:rPr>
            </w:pPr>
            <w:r>
              <w:rPr>
                <w:b/>
                <w:bCs/>
                <w:spacing w:val="80"/>
                <w:sz w:val="28"/>
                <w:szCs w:val="28"/>
              </w:rPr>
              <w:t>ПОСТАНОВЛЕНИЕ</w:t>
            </w:r>
          </w:p>
          <w:p>
            <w:pPr>
              <w:spacing w:line="276" w:lineRule="auto"/>
              <w:jc w:val="center"/>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cantSplit/>
        </w:trPr>
        <w:tc>
          <w:tcPr>
            <w:tcW w:w="3367" w:type="dxa"/>
            <w:vAlign w:val="center"/>
          </w:tcPr>
          <w:p>
            <w:pPr>
              <w:spacing w:line="276" w:lineRule="auto"/>
              <w:jc w:val="center"/>
              <w:rPr>
                <w:sz w:val="28"/>
                <w:szCs w:val="28"/>
              </w:rPr>
            </w:pPr>
            <w:r>
              <w:rPr>
                <w:sz w:val="28"/>
                <w:szCs w:val="28"/>
              </w:rPr>
              <w:t>от 27 июля 2022 г.</w:t>
            </w:r>
          </w:p>
        </w:tc>
        <w:tc>
          <w:tcPr>
            <w:tcW w:w="2821" w:type="dxa"/>
            <w:vAlign w:val="top"/>
          </w:tcPr>
          <w:p>
            <w:pPr>
              <w:spacing w:line="276" w:lineRule="auto"/>
              <w:jc w:val="center"/>
              <w:rPr>
                <w:sz w:val="28"/>
                <w:szCs w:val="28"/>
              </w:rPr>
            </w:pPr>
          </w:p>
        </w:tc>
        <w:tc>
          <w:tcPr>
            <w:tcW w:w="1148" w:type="dxa"/>
            <w:vAlign w:val="center"/>
          </w:tcPr>
          <w:p>
            <w:pPr>
              <w:spacing w:line="276" w:lineRule="auto"/>
              <w:jc w:val="right"/>
              <w:rPr>
                <w:bCs/>
                <w:sz w:val="28"/>
                <w:szCs w:val="28"/>
              </w:rPr>
            </w:pPr>
            <w:r>
              <w:rPr>
                <w:bCs/>
                <w:sz w:val="28"/>
                <w:szCs w:val="28"/>
              </w:rPr>
              <w:t>№</w:t>
            </w:r>
          </w:p>
        </w:tc>
        <w:tc>
          <w:tcPr>
            <w:tcW w:w="2104" w:type="dxa"/>
            <w:vAlign w:val="center"/>
          </w:tcPr>
          <w:p>
            <w:pPr>
              <w:spacing w:line="276" w:lineRule="auto"/>
              <w:rPr>
                <w:rFonts w:hint="default"/>
                <w:sz w:val="28"/>
                <w:szCs w:val="28"/>
                <w:lang/>
              </w:rPr>
            </w:pPr>
            <w:r>
              <w:rPr>
                <w:rFonts w:hint="default"/>
                <w:sz w:val="28"/>
                <w:szCs w:val="28"/>
                <w:lang/>
              </w:rPr>
              <w:t>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cantSplit/>
        </w:trPr>
        <w:tc>
          <w:tcPr>
            <w:tcW w:w="3367" w:type="dxa"/>
            <w:vAlign w:val="center"/>
          </w:tcPr>
          <w:p>
            <w:pPr>
              <w:spacing w:line="276" w:lineRule="auto"/>
              <w:jc w:val="center"/>
              <w:rPr>
                <w:sz w:val="28"/>
                <w:szCs w:val="28"/>
              </w:rPr>
            </w:pPr>
          </w:p>
        </w:tc>
        <w:tc>
          <w:tcPr>
            <w:tcW w:w="2821" w:type="dxa"/>
            <w:vAlign w:val="top"/>
          </w:tcPr>
          <w:p>
            <w:pPr>
              <w:spacing w:line="276" w:lineRule="auto"/>
              <w:jc w:val="center"/>
              <w:rPr>
                <w:sz w:val="28"/>
                <w:szCs w:val="28"/>
              </w:rPr>
            </w:pPr>
            <w:r>
              <w:rPr>
                <w:sz w:val="28"/>
                <w:szCs w:val="28"/>
              </w:rPr>
              <w:t>г</w:t>
            </w:r>
            <w:r>
              <w:rPr>
                <w:sz w:val="28"/>
                <w:szCs w:val="28"/>
                <w:lang w:val="en-US"/>
              </w:rPr>
              <w:t xml:space="preserve">. </w:t>
            </w:r>
            <w:r>
              <w:rPr>
                <w:sz w:val="28"/>
                <w:szCs w:val="28"/>
              </w:rPr>
              <w:t>Алексин</w:t>
            </w:r>
          </w:p>
        </w:tc>
        <w:tc>
          <w:tcPr>
            <w:tcW w:w="1148" w:type="dxa"/>
            <w:vAlign w:val="center"/>
          </w:tcPr>
          <w:p>
            <w:pPr>
              <w:spacing w:line="276" w:lineRule="auto"/>
              <w:jc w:val="right"/>
              <w:rPr>
                <w:bCs/>
                <w:sz w:val="28"/>
                <w:szCs w:val="28"/>
              </w:rPr>
            </w:pPr>
          </w:p>
        </w:tc>
        <w:tc>
          <w:tcPr>
            <w:tcW w:w="2104" w:type="dxa"/>
            <w:vAlign w:val="center"/>
          </w:tcPr>
          <w:p>
            <w:pPr>
              <w:pStyle w:val="8"/>
              <w:spacing w:line="276" w:lineRule="auto"/>
              <w:rPr>
                <w:bCs/>
                <w:sz w:val="28"/>
                <w:szCs w:val="28"/>
              </w:rPr>
            </w:pPr>
          </w:p>
        </w:tc>
      </w:tr>
    </w:tbl>
    <w:p>
      <w:pPr>
        <w:rPr>
          <w:sz w:val="28"/>
          <w:szCs w:val="28"/>
        </w:rPr>
      </w:pPr>
    </w:p>
    <w:p>
      <w:pPr>
        <w:pStyle w:val="2"/>
        <w:rPr>
          <w:szCs w:val="28"/>
        </w:rPr>
      </w:pPr>
      <w:r>
        <w:rPr>
          <w:szCs w:val="28"/>
        </w:rPr>
        <w:t>Об отказе в регистрации кандидата  в депутаты</w:t>
      </w:r>
    </w:p>
    <w:p>
      <w:pPr>
        <w:jc w:val="center"/>
        <w:rPr>
          <w:b/>
          <w:sz w:val="28"/>
          <w:szCs w:val="28"/>
        </w:rPr>
      </w:pPr>
      <w:r>
        <w:rPr>
          <w:b/>
          <w:sz w:val="28"/>
          <w:szCs w:val="28"/>
        </w:rPr>
        <w:t xml:space="preserve">Собрания депутатов муниципального образования </w:t>
      </w:r>
      <w:r>
        <w:rPr>
          <w:b/>
          <w:sz w:val="28"/>
          <w:szCs w:val="28"/>
        </w:rPr>
        <w:br/>
      </w:r>
      <w:r>
        <w:rPr>
          <w:b/>
          <w:sz w:val="28"/>
          <w:szCs w:val="28"/>
        </w:rPr>
        <w:t>город Алексин второго созыва,</w:t>
      </w:r>
    </w:p>
    <w:p>
      <w:pPr>
        <w:jc w:val="center"/>
        <w:rPr>
          <w:b/>
          <w:sz w:val="28"/>
          <w:szCs w:val="28"/>
        </w:rPr>
      </w:pPr>
      <w:r>
        <w:rPr>
          <w:b/>
          <w:sz w:val="28"/>
          <w:szCs w:val="28"/>
        </w:rPr>
        <w:t xml:space="preserve">выдвинутого по четырехмандатному </w:t>
      </w:r>
    </w:p>
    <w:p>
      <w:pPr>
        <w:jc w:val="center"/>
        <w:rPr>
          <w:b/>
          <w:sz w:val="28"/>
          <w:szCs w:val="28"/>
        </w:rPr>
      </w:pPr>
      <w:r>
        <w:rPr>
          <w:b/>
          <w:sz w:val="28"/>
          <w:szCs w:val="28"/>
        </w:rPr>
        <w:t>избирательному округу № 2,</w:t>
      </w:r>
    </w:p>
    <w:p>
      <w:pPr>
        <w:pStyle w:val="2"/>
        <w:rPr>
          <w:szCs w:val="28"/>
        </w:rPr>
      </w:pPr>
      <w:r>
        <w:rPr>
          <w:szCs w:val="28"/>
        </w:rPr>
        <w:t xml:space="preserve"> Ключникова Григория Михайловича</w:t>
      </w:r>
    </w:p>
    <w:p/>
    <w:p>
      <w:pPr>
        <w:autoSpaceDE w:val="0"/>
        <w:autoSpaceDN w:val="0"/>
        <w:adjustRightInd w:val="0"/>
        <w:spacing w:line="360" w:lineRule="auto"/>
        <w:ind w:firstLine="709"/>
        <w:jc w:val="both"/>
        <w:rPr>
          <w:sz w:val="28"/>
          <w:szCs w:val="28"/>
        </w:rPr>
      </w:pPr>
      <w:r>
        <w:rPr>
          <w:sz w:val="28"/>
          <w:szCs w:val="28"/>
        </w:rPr>
        <w:t xml:space="preserve">Рассмотрев документы, представленные кандидатом в депутаты  Собрания депутатов муниципального образования город Алексин второго созыва Ключниковым Григорием Михайловичем, выдвинутого </w:t>
      </w:r>
      <w:r>
        <w:rPr>
          <w:b w:val="0"/>
          <w:bCs w:val="0"/>
          <w:sz w:val="28"/>
          <w:szCs w:val="28"/>
          <w:lang/>
        </w:rPr>
        <w:t>П</w:t>
      </w:r>
      <w:r>
        <w:rPr>
          <w:b w:val="0"/>
          <w:bCs w:val="0"/>
          <w:sz w:val="28"/>
          <w:szCs w:val="28"/>
        </w:rPr>
        <w:t>олитической партией «Партия Возрождения России»</w:t>
      </w:r>
      <w:r>
        <w:rPr>
          <w:sz w:val="28"/>
          <w:szCs w:val="28"/>
        </w:rPr>
        <w:t xml:space="preserve"> по четырехмандатному избирательному округу № 2,  проверив соблюдение порядка выдвижения кандидата требованиям закона, а также достоверность представленных сведений, территориальная избирательная комиссия Алексинского района Тульской области, осуществляя полномочия окружной избирательной комиссии</w:t>
      </w:r>
      <w:r>
        <w:rPr>
          <w:rFonts w:hint="default"/>
          <w:sz w:val="28"/>
          <w:szCs w:val="28"/>
          <w:lang/>
        </w:rPr>
        <w:t xml:space="preserve"> по четырехмандатному избирательному округу № 2</w:t>
      </w:r>
      <w:r>
        <w:rPr>
          <w:sz w:val="28"/>
          <w:szCs w:val="28"/>
        </w:rPr>
        <w:t>, установила следующее.</w:t>
      </w:r>
    </w:p>
    <w:p>
      <w:pPr>
        <w:spacing w:line="360" w:lineRule="auto"/>
        <w:ind w:firstLine="709"/>
        <w:jc w:val="both"/>
        <w:rPr>
          <w:sz w:val="28"/>
          <w:szCs w:val="28"/>
        </w:rPr>
      </w:pPr>
      <w:r>
        <w:rPr>
          <w:sz w:val="28"/>
          <w:szCs w:val="28"/>
        </w:rPr>
        <w:t xml:space="preserve">14 июля 2022 года в 09 час. 15 мин. уполномоченный представитель </w:t>
      </w:r>
      <w:r>
        <w:rPr>
          <w:b w:val="0"/>
          <w:bCs w:val="0"/>
          <w:sz w:val="28"/>
          <w:szCs w:val="28"/>
          <w:highlight w:val="none"/>
          <w:lang/>
        </w:rPr>
        <w:t>П</w:t>
      </w:r>
      <w:r>
        <w:rPr>
          <w:b w:val="0"/>
          <w:bCs w:val="0"/>
          <w:sz w:val="28"/>
          <w:szCs w:val="28"/>
          <w:highlight w:val="none"/>
        </w:rPr>
        <w:t xml:space="preserve">олитической партии «Партия Возрождения России» </w:t>
      </w:r>
      <w:r>
        <w:rPr>
          <w:sz w:val="28"/>
          <w:szCs w:val="28"/>
        </w:rPr>
        <w:t>Ключников Г.М. представил в территориальную избирательную комиссию Алексинского района Тульской области документы для заверения перечня кандидатов в депутаты Собрания депутатов муниципального образования город Алексин второго созыва, выдвинутых по четырехмандатному избирательному округу № 2.</w:t>
      </w:r>
    </w:p>
    <w:p>
      <w:pPr>
        <w:spacing w:line="360" w:lineRule="auto"/>
        <w:ind w:firstLine="709"/>
        <w:jc w:val="both"/>
        <w:rPr>
          <w:sz w:val="28"/>
          <w:szCs w:val="28"/>
        </w:rPr>
      </w:pPr>
      <w:r>
        <w:rPr>
          <w:sz w:val="28"/>
          <w:szCs w:val="28"/>
        </w:rPr>
        <w:t>1</w:t>
      </w:r>
      <w:r>
        <w:rPr>
          <w:rFonts w:hint="default"/>
          <w:sz w:val="28"/>
          <w:szCs w:val="28"/>
          <w:lang/>
        </w:rPr>
        <w:t>6</w:t>
      </w:r>
      <w:r>
        <w:rPr>
          <w:sz w:val="28"/>
          <w:szCs w:val="28"/>
        </w:rPr>
        <w:t xml:space="preserve"> июля 2022 года территориальная избирательная комиссия Алексинского района Тульской области, осуществляющая полномочия избирательной комиссии муниципального образовании город Алексин, своим постановлением от 1</w:t>
      </w:r>
      <w:r>
        <w:rPr>
          <w:rFonts w:hint="default"/>
          <w:sz w:val="28"/>
          <w:szCs w:val="28"/>
          <w:lang/>
        </w:rPr>
        <w:t>6</w:t>
      </w:r>
      <w:r>
        <w:rPr>
          <w:sz w:val="28"/>
          <w:szCs w:val="28"/>
        </w:rPr>
        <w:t xml:space="preserve"> июля 2022 года № </w:t>
      </w:r>
      <w:r>
        <w:rPr>
          <w:rFonts w:hint="default"/>
          <w:sz w:val="28"/>
          <w:szCs w:val="28"/>
          <w:highlight w:val="none"/>
          <w:lang/>
        </w:rPr>
        <w:t xml:space="preserve">26-1 </w:t>
      </w:r>
      <w:r>
        <w:rPr>
          <w:sz w:val="28"/>
          <w:szCs w:val="28"/>
        </w:rPr>
        <w:t xml:space="preserve">заверила перечень кандидатов в депутаты Собрания депутатов муниципального образования город Алексин второго созыва, выдвинутых по четырехмандатному избирательному округу № 2. В соответствии с вышеуказанным постановлением территориальной избирательной комиссией Алексинского района Тульской области, осуществляющей полномочия избирательной комиссии муниципального образовании город Алексин, в заверенный перечень кандидатов в депутаты Собрания депутатов муниципального образования город Алексин второго созыва, выдвинутых </w:t>
      </w:r>
      <w:r>
        <w:rPr>
          <w:b w:val="0"/>
          <w:bCs w:val="0"/>
          <w:sz w:val="28"/>
          <w:szCs w:val="28"/>
          <w:lang/>
        </w:rPr>
        <w:t>П</w:t>
      </w:r>
      <w:r>
        <w:rPr>
          <w:b w:val="0"/>
          <w:bCs w:val="0"/>
          <w:sz w:val="28"/>
          <w:szCs w:val="28"/>
        </w:rPr>
        <w:t>олитической партией «Партия Возрождения России»</w:t>
      </w:r>
      <w:r>
        <w:rPr>
          <w:b/>
          <w:bCs/>
          <w:sz w:val="28"/>
          <w:szCs w:val="28"/>
        </w:rPr>
        <w:t xml:space="preserve"> </w:t>
      </w:r>
      <w:r>
        <w:rPr>
          <w:sz w:val="28"/>
          <w:szCs w:val="28"/>
        </w:rPr>
        <w:t>включен кандидат Ключников Григорий Михайлович.</w:t>
      </w:r>
    </w:p>
    <w:p>
      <w:pPr>
        <w:spacing w:line="360" w:lineRule="auto"/>
        <w:ind w:firstLine="709"/>
        <w:jc w:val="both"/>
        <w:rPr>
          <w:rFonts w:eastAsia="Calibri"/>
          <w:sz w:val="28"/>
          <w:szCs w:val="28"/>
          <w:lang w:eastAsia="en-US"/>
        </w:rPr>
      </w:pPr>
      <w:r>
        <w:rPr>
          <w:rFonts w:hint="default"/>
          <w:sz w:val="28"/>
          <w:szCs w:val="28"/>
          <w:highlight w:val="none"/>
          <w:lang/>
        </w:rPr>
        <w:t>19</w:t>
      </w:r>
      <w:r>
        <w:rPr>
          <w:sz w:val="28"/>
          <w:szCs w:val="28"/>
        </w:rPr>
        <w:t xml:space="preserve"> июля 2022 года кандидат Ключников Г.М. представил в  территориальную избирательную комиссию Алексинского района Тульской области, осуществляющую полномочия окружной избирательной комиссии</w:t>
      </w:r>
      <w:r>
        <w:rPr>
          <w:rFonts w:hint="default"/>
          <w:sz w:val="28"/>
          <w:szCs w:val="28"/>
          <w:lang/>
        </w:rPr>
        <w:t xml:space="preserve"> по четырехмандатному избирательному округу № 2</w:t>
      </w:r>
      <w:r>
        <w:rPr>
          <w:sz w:val="28"/>
          <w:szCs w:val="28"/>
        </w:rPr>
        <w:t xml:space="preserve"> (далее - Комиссия), документы для уведомления о выдвижении кандидата </w:t>
      </w:r>
      <w:r>
        <w:rPr>
          <w:rFonts w:eastAsia="Calibri"/>
          <w:sz w:val="28"/>
          <w:szCs w:val="28"/>
          <w:lang w:eastAsia="en-US"/>
        </w:rPr>
        <w:t>- копии паспорта</w:t>
      </w:r>
      <w:r>
        <w:rPr>
          <w:rFonts w:hint="default" w:eastAsia="Calibri"/>
          <w:sz w:val="28"/>
          <w:szCs w:val="28"/>
          <w:lang w:eastAsia="en-US"/>
        </w:rPr>
        <w:t xml:space="preserve"> гражданина РФ</w:t>
      </w:r>
      <w:r>
        <w:rPr>
          <w:rFonts w:eastAsia="Calibri"/>
          <w:sz w:val="28"/>
          <w:szCs w:val="28"/>
          <w:lang w:eastAsia="en-US"/>
        </w:rPr>
        <w:t>, копию свидетельства о постановке на учет в налоговом органе, копию страхового свидетельства обязательного пенсионного страхования.</w:t>
      </w:r>
    </w:p>
    <w:p>
      <w:pPr>
        <w:spacing w:line="360" w:lineRule="auto"/>
        <w:ind w:firstLine="709"/>
        <w:jc w:val="both"/>
        <w:rPr>
          <w:sz w:val="28"/>
          <w:szCs w:val="28"/>
        </w:rPr>
      </w:pPr>
      <w:r>
        <w:rPr>
          <w:rFonts w:hint="default"/>
          <w:sz w:val="28"/>
          <w:szCs w:val="28"/>
          <w:highlight w:val="none"/>
          <w:lang/>
        </w:rPr>
        <w:t>19</w:t>
      </w:r>
      <w:r>
        <w:rPr>
          <w:sz w:val="28"/>
          <w:szCs w:val="28"/>
          <w:highlight w:val="none"/>
        </w:rPr>
        <w:t xml:space="preserve"> </w:t>
      </w:r>
      <w:r>
        <w:rPr>
          <w:sz w:val="28"/>
          <w:szCs w:val="28"/>
        </w:rPr>
        <w:t>июля 2022 года кандидатом Ключниковым Г.М. были представлены в Комиссию документы для регистрации:</w:t>
      </w:r>
    </w:p>
    <w:p>
      <w:pPr>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 xml:space="preserve"> - сообщение об отсутствии изменений сведений о кандидате;</w:t>
      </w:r>
    </w:p>
    <w:p>
      <w:pPr>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 xml:space="preserve"> - сообщение об открытии специального избирательного счета.</w:t>
      </w:r>
    </w:p>
    <w:p>
      <w:pPr>
        <w:autoSpaceDE w:val="0"/>
        <w:autoSpaceDN w:val="0"/>
        <w:adjustRightInd w:val="0"/>
        <w:spacing w:line="360" w:lineRule="auto"/>
        <w:ind w:firstLine="709"/>
        <w:jc w:val="both"/>
        <w:rPr>
          <w:sz w:val="28"/>
          <w:szCs w:val="28"/>
        </w:rPr>
      </w:pPr>
      <w:r>
        <w:rPr>
          <w:sz w:val="28"/>
          <w:szCs w:val="28"/>
          <w:highlight w:val="none"/>
        </w:rPr>
        <w:t xml:space="preserve"> 18</w:t>
      </w:r>
      <w:r>
        <w:rPr>
          <w:sz w:val="28"/>
          <w:szCs w:val="28"/>
        </w:rPr>
        <w:t xml:space="preserve"> июля 2022 года в Комиссию поступил Отчет о посещении представителем Аппарата ЦИК России заседания Президиума Центрального Совета Политической партии «Партия Возрождения России» по вопросу выдвижения кандидата в депутаты Собрания депутатов муниципального образования город Алексин второго созыва по четырехмандатному избирательному округу № 2 на дополнительных выборах, назначенных на 11 сентября 2022 года (далее – Отчет). В Отчете содержится информация о том, что после утверждения протокола ответственного за подсчет голосов при проведении тайного голосования решение о выдвижении кандидата не принималось. Таким образом, содержание Выписки из Протокола заседания Президиума Центрального Совета Политической партии «Партия Возрождения России» ПЦС-№5 от 8 июля 2022 года касательно выдвижения кандидатом Ключникова Григория Михайловича противоречит информации, изложенной в Отчете, и не соответствует действительности. </w:t>
      </w:r>
    </w:p>
    <w:p>
      <w:pPr>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 xml:space="preserve">В соответствии с пунктом 9 статьи 59 </w:t>
      </w:r>
      <w:r>
        <w:rPr>
          <w:sz w:val="28"/>
          <w:szCs w:val="28"/>
        </w:rPr>
        <w:t>Федерального закона от 12 июня 2002 года № 67-ФЗ «Об основных гарантиях избирательных прав и права на участие в референдуме граждан Российской Федерации» Законом может быть предусмотрено, что кандидат, избирательное объединение одновременно с представлением документов для регистрации представляют первый финансовый отчет.</w:t>
      </w:r>
    </w:p>
    <w:p>
      <w:pPr>
        <w:autoSpaceDE w:val="0"/>
        <w:autoSpaceDN w:val="0"/>
        <w:adjustRightInd w:val="0"/>
        <w:spacing w:line="360" w:lineRule="auto"/>
        <w:ind w:firstLine="709"/>
        <w:jc w:val="both"/>
        <w:rPr>
          <w:sz w:val="28"/>
          <w:szCs w:val="28"/>
        </w:rPr>
      </w:pPr>
      <w:r>
        <w:rPr>
          <w:rFonts w:eastAsia="Calibri"/>
          <w:sz w:val="28"/>
          <w:szCs w:val="28"/>
          <w:lang w:eastAsia="en-US"/>
        </w:rPr>
        <w:t xml:space="preserve">В соответствии с частями 1, 1-1 статьи 18 </w:t>
      </w:r>
      <w:r>
        <w:rPr>
          <w:sz w:val="28"/>
          <w:szCs w:val="28"/>
        </w:rPr>
        <w:t>Закона Тульской области от 8 июля 2008 года № 1055-ЗТО «О регулировании отдельных правоотношений, связанных с выборами депутатов представительных органов муниципальных образований, членов иных выборных органов местного самоуправления» для регистрации кандидата, выдвинутого по многомандатному избирательному округу, он не позднее чем за 40 дней до дня голосования до 18 часов по московскому времени представляет в соответствующую окружную комиссию следующие избирательные документы:</w:t>
      </w:r>
    </w:p>
    <w:p>
      <w:pPr>
        <w:autoSpaceDE w:val="0"/>
        <w:autoSpaceDN w:val="0"/>
        <w:adjustRightInd w:val="0"/>
        <w:spacing w:line="360" w:lineRule="auto"/>
        <w:ind w:firstLine="709"/>
        <w:jc w:val="both"/>
        <w:rPr>
          <w:sz w:val="28"/>
          <w:szCs w:val="28"/>
        </w:rPr>
      </w:pPr>
      <w:r>
        <w:rPr>
          <w:sz w:val="28"/>
          <w:szCs w:val="28"/>
        </w:rPr>
        <w:t>1) сообщение об изменении сведений о кандидате либо об отсутствии таких изменений по форме, установленной избирательной комиссией, организующей выборы;</w:t>
      </w:r>
    </w:p>
    <w:p>
      <w:pPr>
        <w:autoSpaceDE w:val="0"/>
        <w:autoSpaceDN w:val="0"/>
        <w:adjustRightInd w:val="0"/>
        <w:spacing w:line="360" w:lineRule="auto"/>
        <w:ind w:firstLine="709"/>
        <w:jc w:val="both"/>
        <w:rPr>
          <w:sz w:val="28"/>
          <w:szCs w:val="28"/>
        </w:rPr>
      </w:pPr>
      <w:r>
        <w:rPr>
          <w:sz w:val="28"/>
          <w:szCs w:val="28"/>
        </w:rPr>
        <w:t>2) сообщение об открытии специального избирательного счета с указанием его реквизитов по форме, установленной избирательной комиссией области, за исключением кандидата, уведомившего избирательную комиссию об отказе от финансирования своей избирательной кампании в соответствии с частью 1 статьи 29 настоящего Закона.</w:t>
      </w:r>
    </w:p>
    <w:p>
      <w:pPr>
        <w:autoSpaceDE w:val="0"/>
        <w:autoSpaceDN w:val="0"/>
        <w:adjustRightInd w:val="0"/>
        <w:spacing w:line="360" w:lineRule="auto"/>
        <w:ind w:firstLine="709"/>
        <w:jc w:val="both"/>
        <w:rPr>
          <w:rFonts w:eastAsia="Calibri"/>
          <w:sz w:val="28"/>
          <w:szCs w:val="28"/>
          <w:lang w:eastAsia="en-US"/>
        </w:rPr>
      </w:pPr>
      <w:r>
        <w:rPr>
          <w:sz w:val="28"/>
          <w:szCs w:val="28"/>
        </w:rPr>
        <w:t>При проведении выборов депутатов представительного органа муниципального образования, наделенного статусом городского округа, кандидат представляет в соответствующую избирательную комиссию вместе с иными документами, необходимыми для регистрации кандидата, первый финансовый отчет по форме, установленной избирательной комиссией области, за исключением случая, предусмотренного частью 1 статьи 29 настоящего Закона.</w:t>
      </w:r>
      <w:r>
        <w:rPr>
          <w:rFonts w:eastAsia="Calibri"/>
          <w:sz w:val="28"/>
          <w:szCs w:val="28"/>
          <w:lang w:eastAsia="en-US"/>
        </w:rPr>
        <w:t xml:space="preserve"> </w:t>
      </w:r>
    </w:p>
    <w:p>
      <w:pPr>
        <w:autoSpaceDE w:val="0"/>
        <w:autoSpaceDN w:val="0"/>
        <w:adjustRightInd w:val="0"/>
        <w:spacing w:line="360" w:lineRule="auto"/>
        <w:ind w:firstLine="709"/>
        <w:jc w:val="both"/>
        <w:rPr>
          <w:sz w:val="28"/>
          <w:szCs w:val="28"/>
        </w:rPr>
      </w:pPr>
      <w:r>
        <w:rPr>
          <w:rFonts w:eastAsia="Calibri"/>
          <w:sz w:val="28"/>
          <w:szCs w:val="28"/>
          <w:lang w:eastAsia="en-US"/>
        </w:rPr>
        <w:t xml:space="preserve">Частью 2 статьи 31 </w:t>
      </w:r>
      <w:r>
        <w:rPr>
          <w:sz w:val="28"/>
          <w:szCs w:val="28"/>
        </w:rPr>
        <w:t xml:space="preserve">Закона Тульской области от 8 июля 2008 года </w:t>
      </w:r>
      <w:r>
        <w:rPr>
          <w:sz w:val="28"/>
          <w:szCs w:val="28"/>
        </w:rPr>
        <w:br/>
      </w:r>
      <w:r>
        <w:rPr>
          <w:sz w:val="28"/>
          <w:szCs w:val="28"/>
        </w:rPr>
        <w:t>№ 1055-ЗТО «О регулировании отдельных правоотношений, связанных с выборами депутатов представительных органов муниципальных образований, членов иных выборных органов местного самоуправления» определено, что первый финансовый отчет кандидат представляет одновременно с представлением документов для регистрации кандидата, списка кандидатов в соответствии с настоящим Законом. Первый финансовый отчет кандидата включает в себя следующие документы: учет поступления и расходования денежных средств избирательного фонда кандидата; первый финансовый отчет о поступлении и расходовании средств избирательного фонда кандидата; справку об остатке средств фонда на дату отчета, выданную филиалом публичного акционерного общества «Сбербанк России» (а при его отсутствии - другой кредитной организацией, в которой открыт специальный избирательный счет); копию договора банковского счета, на основании которого открыт специальный избирательный счет кандидата, заверенную кандидатом. Первый финансовый отчет кандидата считается представленным при представлении всех указанных документов.</w:t>
      </w:r>
    </w:p>
    <w:p>
      <w:pPr>
        <w:autoSpaceDE w:val="0"/>
        <w:autoSpaceDN w:val="0"/>
        <w:adjustRightInd w:val="0"/>
        <w:spacing w:line="360" w:lineRule="auto"/>
        <w:ind w:firstLine="709"/>
        <w:jc w:val="both"/>
        <w:rPr>
          <w:sz w:val="28"/>
          <w:szCs w:val="28"/>
        </w:rPr>
      </w:pPr>
      <w:r>
        <w:rPr>
          <w:sz w:val="28"/>
          <w:szCs w:val="28"/>
        </w:rPr>
        <w:t>Рассмотрев документы, представленные для выдвижения и регистрации кандидата Ключникова Г.М., Рабочей группой по приему и проверке избирательных документов, представляемых уполномоченными представителями политических партий и кандидатами в территориальную избирательную комиссию Алексинского района Тульской области при проведении дополнительных выборов депутатов Собрания депутатов муниципального образования город Алексин второго созыва по четырехмандатному избирательному округу № 2 (далее - Рабочая группа), было установлено:</w:t>
      </w:r>
    </w:p>
    <w:p>
      <w:pPr>
        <w:spacing w:line="360" w:lineRule="auto"/>
        <w:ind w:firstLine="851"/>
        <w:jc w:val="both"/>
        <w:rPr>
          <w:sz w:val="28"/>
          <w:szCs w:val="28"/>
        </w:rPr>
      </w:pPr>
      <w:r>
        <w:rPr>
          <w:sz w:val="28"/>
          <w:szCs w:val="28"/>
        </w:rPr>
        <w:t xml:space="preserve">- в нарушение требований, установленных подпунктом «а» пункта 2.2. статьи 33 Федерального закона от 12 июня 2002 года № 67-ФЗ «Об основных гарантиях избирательных прав и права на участие в референдуме граждан Российской Федерации» не заверена копия паспорта гражданина РФ; </w:t>
      </w:r>
    </w:p>
    <w:p>
      <w:pPr>
        <w:spacing w:line="360" w:lineRule="auto"/>
        <w:ind w:firstLine="851"/>
        <w:jc w:val="both"/>
        <w:rPr>
          <w:sz w:val="28"/>
          <w:szCs w:val="28"/>
        </w:rPr>
      </w:pPr>
      <w:r>
        <w:rPr>
          <w:sz w:val="28"/>
          <w:szCs w:val="28"/>
        </w:rPr>
        <w:t xml:space="preserve">- в нарушение требований, установленных пунктом 1 </w:t>
      </w:r>
      <w:r>
        <w:rPr>
          <w:rFonts w:eastAsia="Calibri"/>
          <w:sz w:val="28"/>
          <w:szCs w:val="28"/>
          <w:lang w:eastAsia="en-US"/>
        </w:rPr>
        <w:t xml:space="preserve">части 1 статьи 18 </w:t>
      </w:r>
      <w:r>
        <w:rPr>
          <w:sz w:val="28"/>
          <w:szCs w:val="28"/>
        </w:rPr>
        <w:t>Закона Тульской области от 8 июля 2008 года № 1055-ЗТО «О регулировании отдельных правоотношений, связанных с выборами депутатов представительных органов муниципальных образований, членов иных выборных органов местного самоуправления» сообщение об изменении сведений о кандидате либо об отсутствии таких изменений оформлено не по форме, установленной избирательной комиссией, организующей выборы;</w:t>
      </w:r>
    </w:p>
    <w:p>
      <w:pPr>
        <w:autoSpaceDE w:val="0"/>
        <w:autoSpaceDN w:val="0"/>
        <w:adjustRightInd w:val="0"/>
        <w:spacing w:line="360" w:lineRule="auto"/>
        <w:ind w:firstLine="709"/>
        <w:jc w:val="both"/>
        <w:rPr>
          <w:sz w:val="28"/>
          <w:szCs w:val="28"/>
        </w:rPr>
      </w:pPr>
      <w:r>
        <w:rPr>
          <w:sz w:val="28"/>
          <w:szCs w:val="28"/>
        </w:rPr>
        <w:t xml:space="preserve">- в нарушение требований, установленных частью 2 статьи 31 Закона Тульской области от 8 июля 2008 года № 1055-ЗТО «О регулировании отдельных правоотношений, связанных с выборами депутатов представительных органов муниципальных образований, членов иных выборных органов местного самоуправления» кандидатом не был представлен первый финансовый отчет кандидата одновременно с представлением иных необходимых документов для регистрации кандидата. </w:t>
      </w:r>
    </w:p>
    <w:p>
      <w:pPr>
        <w:spacing w:line="360" w:lineRule="auto"/>
        <w:ind w:firstLine="851"/>
        <w:jc w:val="both"/>
        <w:rPr>
          <w:sz w:val="28"/>
          <w:szCs w:val="28"/>
        </w:rPr>
      </w:pPr>
      <w:r>
        <w:rPr>
          <w:sz w:val="28"/>
          <w:szCs w:val="28"/>
        </w:rPr>
        <w:t>23 июля 2022 года Комиссией было принято постановление о выявленных недостатках в документах кандидата в депутаты Собрания депутатов муниципального образования город Алексин второго созыва Ключникова Григория Михайловича, выдвинутого по четырехмандатному избирательному округу № 2. Кандидат Ключников Г.М. был извещен о выявленных недостатках в представленных им документах: не заверена копия паспорта гражданина РФ; сообщение об изменении сведений о кандидате либо об отсутствии таких изменений оформлено не по форме, установленной избирательной комиссией, организующей выборы; не представлен первый финансовый отчет одновременно с иными необходимыми документами для регистрации.</w:t>
      </w:r>
    </w:p>
    <w:p>
      <w:pPr>
        <w:spacing w:line="360" w:lineRule="auto"/>
        <w:ind w:firstLine="851"/>
        <w:jc w:val="both"/>
        <w:rPr>
          <w:sz w:val="28"/>
          <w:szCs w:val="28"/>
        </w:rPr>
      </w:pPr>
      <w:r>
        <w:rPr>
          <w:sz w:val="28"/>
          <w:szCs w:val="28"/>
        </w:rPr>
        <w:t>25 июля 2022 года кандидат Ключников Г.М. дополнительно представил в Комиссию следующие документы: заверенную кандидатом копию паспорта гражданина РФ; сообщение об изменении сведений о кандидате; первый финансовый о поступлении и расходовании средств избирательного фонда кандидата, учет о поступлении и расходовании денежных средств избирательного фонда кандидата, справку об остатке средств фонда на дату отчета, выданную филиалом ПАО «Сбербанк России».</w:t>
      </w:r>
    </w:p>
    <w:p>
      <w:pPr>
        <w:spacing w:line="360" w:lineRule="auto"/>
        <w:ind w:firstLine="851"/>
        <w:jc w:val="both"/>
        <w:rPr>
          <w:sz w:val="28"/>
          <w:szCs w:val="28"/>
        </w:rPr>
      </w:pPr>
      <w:r>
        <w:rPr>
          <w:sz w:val="28"/>
          <w:szCs w:val="28"/>
        </w:rPr>
        <w:t>В этой связи необходимо учитывать следующее.</w:t>
      </w:r>
    </w:p>
    <w:p>
      <w:pPr>
        <w:spacing w:line="360" w:lineRule="auto"/>
        <w:ind w:firstLine="851"/>
        <w:jc w:val="both"/>
        <w:rPr>
          <w:sz w:val="28"/>
          <w:szCs w:val="28"/>
        </w:rPr>
      </w:pPr>
      <w:r>
        <w:rPr>
          <w:sz w:val="28"/>
          <w:szCs w:val="28"/>
        </w:rPr>
        <w:t>Согласно пункту 1.1 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документы, представленные в соответствии с пунктом 3.1) статьи 33 настоящего Федерального закона,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пунктом 2.2 статьи 33 настоящего Федерального закона,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pPr>
        <w:spacing w:line="360" w:lineRule="auto"/>
        <w:ind w:firstLine="851"/>
        <w:jc w:val="both"/>
        <w:rPr>
          <w:sz w:val="28"/>
          <w:szCs w:val="28"/>
        </w:rPr>
      </w:pPr>
      <w:r>
        <w:rPr>
          <w:sz w:val="28"/>
          <w:szCs w:val="28"/>
        </w:rPr>
        <w:t xml:space="preserve">Таким образом, кандидат Ключников Г.М. вправе был заменить копию паспорта гражданина РФ и заменить сообщение об изменении сведений о кандидате, как документы, оформленные с нарушением закона. </w:t>
      </w:r>
    </w:p>
    <w:p>
      <w:pPr>
        <w:autoSpaceDE w:val="0"/>
        <w:autoSpaceDN w:val="0"/>
        <w:adjustRightInd w:val="0"/>
        <w:spacing w:line="360" w:lineRule="auto"/>
        <w:ind w:firstLine="851"/>
        <w:jc w:val="both"/>
        <w:rPr>
          <w:sz w:val="28"/>
          <w:szCs w:val="28"/>
        </w:rPr>
      </w:pPr>
      <w:r>
        <w:rPr>
          <w:sz w:val="28"/>
          <w:szCs w:val="28"/>
        </w:rPr>
        <w:t>При этом пунктом 1.1 ст. 38 Федерального закона от 12 июня 2002 года № 67-ФЗ «Об основных гарантиях избирательных прав и права на участие в референдуме граждан Российской Федерации» не предусмотрена возможность представления кандидатом в избирательную комиссию оригиналов документов, которые ранее им не представлялись.</w:t>
      </w:r>
    </w:p>
    <w:p>
      <w:pPr>
        <w:autoSpaceDE w:val="0"/>
        <w:autoSpaceDN w:val="0"/>
        <w:adjustRightInd w:val="0"/>
        <w:spacing w:line="360" w:lineRule="auto"/>
        <w:ind w:firstLine="851"/>
        <w:jc w:val="both"/>
        <w:rPr>
          <w:sz w:val="28"/>
          <w:szCs w:val="28"/>
        </w:rPr>
      </w:pPr>
      <w:r>
        <w:rPr>
          <w:sz w:val="28"/>
          <w:szCs w:val="28"/>
        </w:rPr>
        <w:t>Кроме того, дополнительно представленный кандидатом Ключниковым Г.М. первый финансовый отчет о поступлении и расходовании средств избирательного фонда кандидата не может восполнить его отсутствие среди документов представленных для регистрации кандидата, т.к. согласно части 2 статьи 31 Закона Тульской области от 8 июля 2008 года № 1055-ЗТО «О регулировании отдельных правоотношений, связанных с выборами депутатов представительных органов муниципальных образований, членов иных выборных органов местного самоуправления» первый финансовый отчет кандидат представляет одновременно с представлением документов для регистрации кандидата.</w:t>
      </w:r>
    </w:p>
    <w:p>
      <w:pPr>
        <w:spacing w:line="360" w:lineRule="auto"/>
        <w:ind w:firstLine="851"/>
        <w:jc w:val="both"/>
        <w:rPr>
          <w:sz w:val="28"/>
          <w:szCs w:val="28"/>
        </w:rPr>
      </w:pPr>
      <w:r>
        <w:rPr>
          <w:sz w:val="28"/>
          <w:szCs w:val="28"/>
        </w:rPr>
        <w:t>Также среди документов, дополнительно представленных Ключниковым Г.М. в Комиссию, отсутствует копия договора банковского счета, на основании которого открыт специальный избирательный счет кандидата, являющаяся одним из документов первого финансового отчета кандидата.</w:t>
      </w:r>
    </w:p>
    <w:p>
      <w:pPr>
        <w:spacing w:line="360" w:lineRule="auto"/>
        <w:ind w:firstLine="851"/>
        <w:jc w:val="both"/>
        <w:rPr>
          <w:sz w:val="28"/>
        </w:rPr>
      </w:pPr>
      <w:r>
        <w:rPr>
          <w:sz w:val="28"/>
        </w:rPr>
        <w:t xml:space="preserve">Первый финансовый отчет кандидата, избирательного объединения считается представленным при представлении всех указанных в части 2 </w:t>
      </w:r>
      <w:r>
        <w:rPr>
          <w:sz w:val="28"/>
          <w:szCs w:val="28"/>
        </w:rPr>
        <w:t xml:space="preserve">статьи 31 </w:t>
      </w:r>
      <w:r>
        <w:rPr>
          <w:sz w:val="28"/>
        </w:rPr>
        <w:t>Закона Тульской от 08 июля 2008 года № 1055-ЗТО «О регулировании отдельных правоотношений, связанных с выборами депутатов представительных органов муниципальных образований, членов иных выборных органов местного самоуправления» документов.</w:t>
      </w:r>
    </w:p>
    <w:p>
      <w:pPr>
        <w:autoSpaceDE w:val="0"/>
        <w:autoSpaceDN w:val="0"/>
        <w:adjustRightInd w:val="0"/>
        <w:spacing w:line="360" w:lineRule="auto"/>
        <w:ind w:firstLine="709"/>
        <w:jc w:val="both"/>
        <w:rPr>
          <w:sz w:val="28"/>
        </w:rPr>
      </w:pPr>
      <w:r>
        <w:rPr>
          <w:sz w:val="28"/>
        </w:rPr>
        <w:t>Учитывая вышеизложенное, руководствуясь пунктом 18 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 частью 1 статьи 21 Закона Тульской от 08 июля 2008 года № 1055-ЗТО «О регулировании отдельных правоотношений, связанных с выборами депутатов представительных органов муниципальных образований, членов иных выборных органов местного самоуправления», территориальная избирательная комиссия Алексинского района Тульской области, осуществляя полномочия окружной избирательной комиссии</w:t>
      </w:r>
      <w:r>
        <w:rPr>
          <w:rFonts w:hint="default"/>
          <w:sz w:val="28"/>
          <w:lang/>
        </w:rPr>
        <w:t xml:space="preserve"> по четырехмандатному избирательному округу № 2</w:t>
      </w:r>
      <w:r>
        <w:rPr>
          <w:sz w:val="28"/>
        </w:rPr>
        <w:t xml:space="preserve">, </w:t>
      </w:r>
      <w:r>
        <w:rPr>
          <w:b/>
          <w:bCs/>
          <w:sz w:val="28"/>
          <w:lang/>
        </w:rPr>
        <w:t>постановляет</w:t>
      </w:r>
      <w:r>
        <w:rPr>
          <w:rFonts w:hint="default"/>
          <w:b/>
          <w:bCs/>
          <w:sz w:val="28"/>
          <w:lang w:val="en-US"/>
        </w:rPr>
        <w:t>:</w:t>
      </w:r>
    </w:p>
    <w:p>
      <w:pPr>
        <w:pStyle w:val="4"/>
        <w:spacing w:line="360" w:lineRule="auto"/>
        <w:rPr>
          <w:szCs w:val="28"/>
        </w:rPr>
      </w:pPr>
      <w:r>
        <w:rPr>
          <w:szCs w:val="28"/>
        </w:rPr>
        <w:t xml:space="preserve">1. </w:t>
      </w:r>
      <w:r>
        <w:rPr>
          <w:bCs/>
          <w:szCs w:val="28"/>
        </w:rPr>
        <w:t>В регистрации кандидата</w:t>
      </w:r>
      <w:r>
        <w:rPr>
          <w:szCs w:val="28"/>
        </w:rPr>
        <w:t xml:space="preserve"> в депутаты Собрания депутатов муниципального образования  город Алексин второго созыва  по четырехмандатному избирательному округу № 2 Ключникова Григория Михайловича, выдвинутого </w:t>
      </w:r>
      <w:r>
        <w:rPr>
          <w:szCs w:val="28"/>
          <w:lang/>
        </w:rPr>
        <w:t>П</w:t>
      </w:r>
      <w:r>
        <w:rPr>
          <w:szCs w:val="28"/>
        </w:rPr>
        <w:t xml:space="preserve">олитической партией «Партия Возрождения России», </w:t>
      </w:r>
      <w:r>
        <w:rPr>
          <w:bCs/>
          <w:szCs w:val="28"/>
        </w:rPr>
        <w:t>отказать</w:t>
      </w:r>
      <w:r>
        <w:rPr>
          <w:szCs w:val="28"/>
        </w:rPr>
        <w:t xml:space="preserve"> на основании подпунктов «б», «в» пункта 24 статьи 38 Федерального закона от 12 июня 2002 года </w:t>
      </w:r>
      <w:r>
        <w:rPr>
          <w:szCs w:val="28"/>
        </w:rPr>
        <w:br/>
      </w:r>
      <w:r>
        <w:rPr>
          <w:szCs w:val="28"/>
        </w:rPr>
        <w:t>№ 67-ФЗ «Об основных гарантиях избирательных прав и права на участие в референдуме граждан Российской Федерации» (несоблюдение требований к выдвижению кандидата,</w:t>
      </w:r>
      <w:r>
        <w:t xml:space="preserve"> </w:t>
      </w:r>
      <w:r>
        <w:rPr>
          <w:szCs w:val="28"/>
        </w:rPr>
        <w:t>предусмотренных Федеральным законом «О политических партиях», отсутствие документов, необходимых в соответствии с законом для  регистрации кандидата).</w:t>
      </w:r>
    </w:p>
    <w:p>
      <w:pPr>
        <w:pStyle w:val="4"/>
        <w:spacing w:line="360" w:lineRule="auto"/>
        <w:rPr>
          <w:szCs w:val="28"/>
        </w:rPr>
      </w:pPr>
      <w:r>
        <w:rPr>
          <w:szCs w:val="28"/>
        </w:rPr>
        <w:t>2. Копию настоящего постановления выдать Ключникову Григорию  Михайловичу в течение одних суток с момента принятия решения об отказе в регистрации.</w:t>
      </w:r>
    </w:p>
    <w:p>
      <w:pPr>
        <w:pStyle w:val="4"/>
        <w:spacing w:line="360" w:lineRule="auto"/>
        <w:rPr>
          <w:szCs w:val="28"/>
        </w:rPr>
      </w:pPr>
      <w:r>
        <w:rPr>
          <w:szCs w:val="28"/>
        </w:rPr>
        <w:t xml:space="preserve">3. Настоящее постановление разместить на </w:t>
      </w:r>
      <w:r>
        <w:rPr>
          <w:szCs w:val="28"/>
          <w:lang/>
        </w:rPr>
        <w:t>официальном</w:t>
      </w:r>
      <w:r>
        <w:rPr>
          <w:rFonts w:hint="default"/>
          <w:szCs w:val="28"/>
          <w:lang/>
        </w:rPr>
        <w:t xml:space="preserve"> </w:t>
      </w:r>
      <w:r>
        <w:rPr>
          <w:szCs w:val="28"/>
        </w:rPr>
        <w:t>сайте</w:t>
      </w:r>
      <w:r>
        <w:rPr>
          <w:rFonts w:hint="default"/>
          <w:szCs w:val="28"/>
          <w:lang/>
        </w:rPr>
        <w:t xml:space="preserve"> администрации муниципального образования город Алексин, раздел Выборы</w:t>
      </w:r>
      <w:r>
        <w:rPr>
          <w:szCs w:val="28"/>
        </w:rPr>
        <w:t xml:space="preserve"> .</w:t>
      </w:r>
    </w:p>
    <w:p>
      <w:pPr>
        <w:pStyle w:val="4"/>
        <w:spacing w:line="360" w:lineRule="auto"/>
        <w:rPr>
          <w:szCs w:val="28"/>
        </w:rPr>
      </w:pPr>
    </w:p>
    <w:tbl>
      <w:tblPr>
        <w:tblW w:w="9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754"/>
        <w:gridCol w:w="3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5754" w:type="dxa"/>
            <w:vAlign w:val="top"/>
          </w:tcPr>
          <w:p>
            <w:pPr>
              <w:spacing w:line="252" w:lineRule="auto"/>
              <w:jc w:val="both"/>
              <w:rPr>
                <w:b w:val="0"/>
                <w:bCs/>
                <w:sz w:val="28"/>
                <w:szCs w:val="28"/>
              </w:rPr>
            </w:pPr>
            <w:r>
              <w:rPr>
                <w:b w:val="0"/>
                <w:bCs/>
                <w:sz w:val="28"/>
                <w:szCs w:val="28"/>
              </w:rPr>
              <w:t>Председатель комиссии</w:t>
            </w:r>
          </w:p>
          <w:p>
            <w:pPr>
              <w:spacing w:line="252" w:lineRule="auto"/>
              <w:jc w:val="both"/>
              <w:rPr>
                <w:b w:val="0"/>
                <w:bCs/>
                <w:sz w:val="28"/>
                <w:szCs w:val="28"/>
              </w:rPr>
            </w:pPr>
          </w:p>
        </w:tc>
        <w:tc>
          <w:tcPr>
            <w:tcW w:w="3601" w:type="dxa"/>
            <w:vAlign w:val="top"/>
          </w:tcPr>
          <w:p>
            <w:pPr>
              <w:spacing w:line="252" w:lineRule="auto"/>
              <w:jc w:val="both"/>
              <w:rPr>
                <w:rFonts w:hint="default"/>
                <w:b/>
                <w:sz w:val="28"/>
                <w:szCs w:val="28"/>
                <w:lang/>
              </w:rPr>
            </w:pPr>
            <w:r>
              <w:rPr>
                <w:rFonts w:hint="default"/>
                <w:b/>
                <w:sz w:val="28"/>
                <w:szCs w:val="28"/>
                <w:lang/>
              </w:rPr>
              <w:t xml:space="preserve">                 </w:t>
            </w:r>
            <w:bookmarkStart w:id="0" w:name="_GoBack"/>
            <w:bookmarkEnd w:id="0"/>
            <w:r>
              <w:rPr>
                <w:rFonts w:hint="default"/>
                <w:b/>
                <w:sz w:val="28"/>
                <w:szCs w:val="28"/>
                <w:lang/>
              </w:rPr>
              <w:t xml:space="preserve">  </w:t>
            </w:r>
            <w:r>
              <w:rPr>
                <w:rFonts w:hint="default"/>
                <w:b w:val="0"/>
                <w:bCs/>
                <w:sz w:val="28"/>
                <w:szCs w:val="28"/>
                <w:lang/>
              </w:rPr>
              <w:t>Е.Н. Журба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5754" w:type="dxa"/>
            <w:vAlign w:val="top"/>
          </w:tcPr>
          <w:p>
            <w:pPr>
              <w:spacing w:line="252" w:lineRule="auto"/>
              <w:jc w:val="both"/>
              <w:rPr>
                <w:b w:val="0"/>
                <w:bCs/>
                <w:sz w:val="28"/>
                <w:szCs w:val="28"/>
              </w:rPr>
            </w:pPr>
            <w:r>
              <w:rPr>
                <w:b w:val="0"/>
                <w:bCs/>
                <w:sz w:val="28"/>
                <w:szCs w:val="28"/>
              </w:rPr>
              <w:t>Секретарь комиссии</w:t>
            </w:r>
          </w:p>
        </w:tc>
        <w:tc>
          <w:tcPr>
            <w:tcW w:w="3601" w:type="dxa"/>
            <w:vAlign w:val="top"/>
          </w:tcPr>
          <w:p>
            <w:pPr>
              <w:spacing w:line="252" w:lineRule="auto"/>
              <w:jc w:val="both"/>
              <w:rPr>
                <w:rFonts w:hint="default"/>
                <w:b/>
                <w:sz w:val="28"/>
                <w:szCs w:val="28"/>
                <w:lang/>
              </w:rPr>
            </w:pPr>
            <w:r>
              <w:rPr>
                <w:rFonts w:hint="default"/>
                <w:b/>
                <w:sz w:val="28"/>
                <w:szCs w:val="28"/>
                <w:lang/>
              </w:rPr>
              <w:t xml:space="preserve">                  </w:t>
            </w:r>
            <w:r>
              <w:rPr>
                <w:rFonts w:hint="default"/>
                <w:b w:val="0"/>
                <w:bCs/>
                <w:sz w:val="28"/>
                <w:szCs w:val="28"/>
                <w:lang/>
              </w:rPr>
              <w:t xml:space="preserve"> Н.А. Кулиничева</w:t>
            </w:r>
          </w:p>
        </w:tc>
      </w:tr>
    </w:tbl>
    <w:p>
      <w:pPr>
        <w:ind w:firstLine="708"/>
        <w:rPr>
          <w:b/>
          <w:sz w:val="28"/>
          <w:szCs w:val="28"/>
        </w:rPr>
      </w:pPr>
    </w:p>
    <w:p>
      <w:pPr>
        <w:ind w:firstLine="708"/>
        <w:rPr>
          <w:sz w:val="28"/>
          <w:szCs w:val="28"/>
        </w:rPr>
      </w:pPr>
    </w:p>
    <w:p>
      <w:pPr>
        <w:ind w:firstLine="708"/>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sectPr>
      <w:headerReference r:id="rId4" w:type="default"/>
      <w:pgSz w:w="11906" w:h="16838"/>
      <w:pgMar w:top="1134" w:right="850" w:bottom="1134" w:left="1701" w:header="708" w:footer="708"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CC"/>
    <w:family w:val="auto"/>
    <w:pitch w:val="default"/>
    <w:sig w:usb0="E10022FF" w:usb1="C000E47F" w:usb2="00000029" w:usb3="00000000" w:csb0="200001DF" w:csb1="20000000"/>
  </w:font>
  <w:font w:name="Calibri">
    <w:panose1 w:val="020F0502020204030204"/>
    <w:charset w:val="CC"/>
    <w:family w:val="auto"/>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jc w:val="center"/>
    </w:pPr>
    <w:r>
      <w:fldChar w:fldCharType="begin"/>
    </w:r>
    <w:r>
      <w:instrText xml:space="preserve">PAGE   \* MERGEFORMAT</w:instrText>
    </w:r>
    <w:r>
      <w:fldChar w:fldCharType="separate"/>
    </w:r>
    <w:r>
      <w:t>2</w:t>
    </w:r>
    <w:r>
      <w:fldChar w:fldCharType="end"/>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08"/>
  <w:drawingGridHorizontalSpacing w:val="0"/>
  <w:displayHorizontalDrawingGridEvery w:val="1"/>
  <w:displayVerticalDrawingGridEvery w:val="1"/>
  <w:characterSpacingControl w:val="doNotCompress"/>
  <w:compat>
    <w:spaceForUL/>
    <w:doNotLeaveBackslashAlone/>
    <w:ulTrailSpac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bidi="ar-SA"/>
    </w:rPr>
  </w:style>
  <w:style w:type="paragraph" w:styleId="2">
    <w:name w:val="heading 1"/>
    <w:basedOn w:val="1"/>
    <w:next w:val="1"/>
    <w:link w:val="9"/>
    <w:qFormat/>
    <w:uiPriority w:val="0"/>
    <w:pPr>
      <w:keepNext/>
      <w:jc w:val="center"/>
      <w:outlineLvl w:val="0"/>
    </w:pPr>
    <w:rPr>
      <w:b/>
      <w:bCs/>
      <w:sz w:val="28"/>
    </w:rPr>
  </w:style>
  <w:style w:type="character" w:default="1" w:styleId="7">
    <w:name w:val="Default Paragraph Font"/>
    <w:semiHidden/>
    <w:unhideWhenUsed/>
    <w:uiPriority w:val="1"/>
  </w:style>
  <w:style w:type="paragraph" w:styleId="3">
    <w:name w:val="Balloon Text"/>
    <w:basedOn w:val="1"/>
    <w:link w:val="13"/>
    <w:semiHidden/>
    <w:unhideWhenUsed/>
    <w:uiPriority w:val="99"/>
    <w:rPr>
      <w:rFonts w:ascii="Segoe UI" w:hAnsi="Segoe UI" w:cs="Segoe UI"/>
      <w:sz w:val="18"/>
      <w:szCs w:val="18"/>
    </w:rPr>
  </w:style>
  <w:style w:type="paragraph" w:styleId="4">
    <w:name w:val="Body Text Indent"/>
    <w:basedOn w:val="1"/>
    <w:link w:val="10"/>
    <w:semiHidden/>
    <w:unhideWhenUsed/>
    <w:uiPriority w:val="0"/>
    <w:pPr>
      <w:ind w:firstLine="720"/>
      <w:jc w:val="both"/>
    </w:pPr>
    <w:rPr>
      <w:sz w:val="28"/>
    </w:rPr>
  </w:style>
  <w:style w:type="paragraph" w:styleId="5">
    <w:name w:val="footer"/>
    <w:basedOn w:val="1"/>
    <w:link w:val="12"/>
    <w:unhideWhenUsed/>
    <w:uiPriority w:val="99"/>
    <w:pPr>
      <w:tabs>
        <w:tab w:val="center" w:pos="4677"/>
        <w:tab w:val="right" w:pos="9355"/>
      </w:tabs>
    </w:pPr>
  </w:style>
  <w:style w:type="paragraph" w:styleId="6">
    <w:name w:val="header"/>
    <w:basedOn w:val="1"/>
    <w:link w:val="11"/>
    <w:unhideWhenUsed/>
    <w:uiPriority w:val="99"/>
    <w:pPr>
      <w:tabs>
        <w:tab w:val="center" w:pos="4677"/>
        <w:tab w:val="right" w:pos="9355"/>
      </w:tabs>
    </w:pPr>
  </w:style>
  <w:style w:type="paragraph" w:customStyle="1" w:styleId="8">
    <w:name w:val="Таблица"/>
    <w:basedOn w:val="1"/>
    <w:uiPriority w:val="0"/>
    <w:rPr>
      <w:szCs w:val="20"/>
    </w:rPr>
  </w:style>
  <w:style w:type="character" w:customStyle="1" w:styleId="9">
    <w:name w:val="Заголовок 1 Знак"/>
    <w:basedOn w:val="7"/>
    <w:link w:val="2"/>
    <w:uiPriority w:val="0"/>
    <w:rPr>
      <w:rFonts w:ascii="Times New Roman" w:hAnsi="Times New Roman" w:eastAsia="Times New Roman" w:cs="Times New Roman"/>
      <w:b/>
      <w:bCs/>
      <w:sz w:val="28"/>
      <w:szCs w:val="24"/>
      <w:lang/>
    </w:rPr>
  </w:style>
  <w:style w:type="character" w:customStyle="1" w:styleId="10">
    <w:name w:val="Основной текст с отступом Знак"/>
    <w:basedOn w:val="7"/>
    <w:link w:val="4"/>
    <w:semiHidden/>
    <w:uiPriority w:val="0"/>
    <w:rPr>
      <w:rFonts w:ascii="Times New Roman" w:hAnsi="Times New Roman" w:eastAsia="Times New Roman" w:cs="Times New Roman"/>
      <w:sz w:val="28"/>
      <w:szCs w:val="24"/>
      <w:lang/>
    </w:rPr>
  </w:style>
  <w:style w:type="character" w:customStyle="1" w:styleId="11">
    <w:name w:val="Верхний колонтитул Знак"/>
    <w:basedOn w:val="7"/>
    <w:link w:val="6"/>
    <w:uiPriority w:val="99"/>
    <w:rPr>
      <w:rFonts w:ascii="Times New Roman" w:hAnsi="Times New Roman" w:eastAsia="Times New Roman" w:cs="Times New Roman"/>
      <w:sz w:val="24"/>
      <w:szCs w:val="24"/>
      <w:lang/>
    </w:rPr>
  </w:style>
  <w:style w:type="character" w:customStyle="1" w:styleId="12">
    <w:name w:val="Нижний колонтитул Знак"/>
    <w:basedOn w:val="7"/>
    <w:link w:val="5"/>
    <w:uiPriority w:val="99"/>
    <w:rPr>
      <w:rFonts w:ascii="Times New Roman" w:hAnsi="Times New Roman" w:eastAsia="Times New Roman" w:cs="Times New Roman"/>
      <w:sz w:val="24"/>
      <w:szCs w:val="24"/>
      <w:lang/>
    </w:rPr>
  </w:style>
  <w:style w:type="character" w:customStyle="1" w:styleId="13">
    <w:name w:val="Текст выноски Знак"/>
    <w:basedOn w:val="7"/>
    <w:link w:val="3"/>
    <w:semiHidden/>
    <w:uiPriority w:val="99"/>
    <w:rPr>
      <w:rFonts w:ascii="Segoe UI" w:hAnsi="Segoe UI" w:eastAsia="Times New Roman" w:cs="Segoe UI"/>
      <w:sz w:val="18"/>
      <w:szCs w:val="18"/>
      <w:lang/>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2201</Words>
  <Characters>12551</Characters>
  <Lines>104</Lines>
  <Paragraphs>29</Paragraphs>
  <TotalTime>0</TotalTime>
  <ScaleCrop>false</ScaleCrop>
  <LinksUpToDate>false</LinksUpToDate>
  <CharactersWithSpaces>0</CharactersWithSpaces>
  <Application>WPS Office_9.1.0.4746_{F1E327BC-269C-435d-A152-05C5408002CA}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2022-07-27T12:00:00Z</dcterms:created>
  <dc:creator>1</dc:creator>
  <cp:lastModifiedBy>Izbirkom</cp:lastModifiedBy>
  <cp:lastPrinted>2022-07-27T13:31:40Z</cp:lastPrinted>
  <dcterms:modified xsi:type="dcterms:W3CDTF">2022-07-27T13:32:01Z</dcterms:modified>
  <dc:title>    ТЕРРИТОРИАЛЬНАЯ ИЗБИРАТЕЛЬНАЯ КОМИССИЯ АЛЕКСИНСКОГО РАЙОНА  ТУЛЬСКОЙ ОБЛАСТИ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