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Пояснительная записка к основным прогнозным показателям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социально-экономического развития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муниципального образования город Алексин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на 2026</w:t>
      </w:r>
      <w:r>
        <w:rPr>
          <w:rFonts w:ascii="Times New Roman" w:hAnsi="Times New Roman"/>
          <w:b w:val="1"/>
          <w:color w:val="000000"/>
          <w:sz w:val="26"/>
        </w:rPr>
        <w:t xml:space="preserve"> год и на период до 2028 года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p w14:paraId="0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Прогнозные показатели социально-экономического развития муниципального образования город Алексин разработаны на основе:</w:t>
      </w:r>
    </w:p>
    <w:p w14:paraId="0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анализа показателей социально-экономического развития муниципального образования город Алексин за 2022-20</w:t>
      </w:r>
      <w:r>
        <w:rPr>
          <w:rFonts w:ascii="Times New Roman" w:hAnsi="Times New Roman"/>
          <w:color w:val="000000"/>
          <w:sz w:val="26"/>
        </w:rPr>
        <w:t>24 годы;</w:t>
      </w:r>
    </w:p>
    <w:p w14:paraId="0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информации территориального органа Федеральной службы государственной статистики по Тульской области за 2022-2024 годы и истекший период 2025 года                (1 квартал, 6 месяцев);</w:t>
      </w:r>
    </w:p>
    <w:p w14:paraId="0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индексов-дефляторов и отдельных макроэкономических показателе</w:t>
      </w:r>
      <w:r>
        <w:rPr>
          <w:rFonts w:ascii="Times New Roman" w:hAnsi="Times New Roman"/>
          <w:color w:val="000000"/>
          <w:sz w:val="26"/>
        </w:rPr>
        <w:t>й прогноза социально-экономического развития Российской Федерации на очередной финансовый год и на плановый период;</w:t>
      </w: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сценарных условий функционирования экономики Российской Федерации и основных параметров прогноза социально-экономического развития Российской Федерации на 2026 год и плановый период 2027 и 2028 годов;</w:t>
      </w:r>
    </w:p>
    <w:p w14:paraId="0C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основных показателей предварительного прогноза социальн</w:t>
      </w:r>
      <w:r>
        <w:rPr>
          <w:rFonts w:ascii="Times New Roman" w:hAnsi="Times New Roman"/>
          <w:color w:val="000000"/>
          <w:sz w:val="26"/>
        </w:rPr>
        <w:t>о-экономического развития Тульской области до 2028 года.</w:t>
      </w:r>
    </w:p>
    <w:p w14:paraId="0D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Основные прогнозные показатели социально-экономического развития муниципального образования согласованы с министерством экономического развития Тульской области.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Промышленное производство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 2024 го</w:t>
      </w:r>
      <w:r>
        <w:rPr>
          <w:rFonts w:ascii="Times New Roman" w:hAnsi="Times New Roman"/>
          <w:color w:val="000000"/>
          <w:sz w:val="26"/>
        </w:rPr>
        <w:t xml:space="preserve">д объем отгруженной продукции промышленного производства по кругу крупных и средних предприятий составил </w:t>
      </w:r>
      <w:r>
        <w:rPr>
          <w:color w:val="000000"/>
          <w:sz w:val="25"/>
        </w:rPr>
        <w:t>68 949,5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рублей, или 142,6% в действующих ценах к уровню 2023 года.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За 1 полугодие 2025 года объем отгруженной продукции промышленного производства</w:t>
      </w:r>
      <w:r>
        <w:rPr>
          <w:rFonts w:ascii="Times New Roman" w:hAnsi="Times New Roman"/>
          <w:color w:val="000000"/>
          <w:sz w:val="26"/>
        </w:rPr>
        <w:t xml:space="preserve"> по кругу крупных и средних предприятий составил 44 232,4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руб., или 135,9% к уровню аналогичного периода прошлого года.</w:t>
      </w: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Согласно оперативным данным за 1 полугодие 2025 года, полученным от предприятий, наиболее значимые объемы отгруженной продукции у пр</w:t>
      </w:r>
      <w:r>
        <w:rPr>
          <w:rFonts w:ascii="Times New Roman" w:hAnsi="Times New Roman"/>
          <w:color w:val="000000"/>
          <w:sz w:val="26"/>
        </w:rPr>
        <w:t>едприятий:</w:t>
      </w:r>
    </w:p>
    <w:p w14:paraId="1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АО «АОМЗ» – 17 626,6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(196% к АППГ),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ООО «Гланит» – 6 031,8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(113% к АППГ),</w:t>
      </w:r>
    </w:p>
    <w:p w14:paraId="1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ФКП «АХК» – 5 882,7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(197,3% к АППГ),</w:t>
      </w:r>
    </w:p>
    <w:p w14:paraId="1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Филиал АО НПО «Тяжпромарматура» - АЗТПА – 3 817,6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(79,3% к АППГ),</w:t>
      </w:r>
    </w:p>
    <w:p w14:paraId="1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«СФТ ПАКЕДЖИНГ Алексин» </w:t>
      </w:r>
      <w:r>
        <w:rPr>
          <w:rFonts w:ascii="Times New Roman" w:hAnsi="Times New Roman"/>
          <w:color w:val="000000"/>
          <w:sz w:val="26"/>
        </w:rPr>
        <w:t xml:space="preserve">– 3 109,5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(103% к АППГ),</w:t>
      </w:r>
    </w:p>
    <w:p w14:paraId="1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ООО «АБКФ» – 2 559,7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(99% к АППГ).</w:t>
      </w:r>
    </w:p>
    <w:p w14:paraId="1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 сохранении до конца текущего года существующих тенденций, ожидается, что объем отгруженной продукции промышленного производства за 2025 год по кругу крупных и средних пре</w:t>
      </w:r>
      <w:r>
        <w:rPr>
          <w:rFonts w:ascii="Times New Roman" w:hAnsi="Times New Roman"/>
          <w:color w:val="000000"/>
          <w:sz w:val="26"/>
        </w:rPr>
        <w:t xml:space="preserve">дприятий составит 84 738,97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(или 122,9% в действующих ценах к уровню 2024 года).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 xml:space="preserve">Согласно прогнозным расчетам объем отгруженной продукции по кругу крупных и средних промышленных предприятий составит в 2026 году –                             90 </w:t>
      </w:r>
      <w:r>
        <w:rPr>
          <w:rFonts w:ascii="Times New Roman" w:hAnsi="Times New Roman"/>
          <w:color w:val="000000"/>
          <w:sz w:val="26"/>
        </w:rPr>
        <w:t xml:space="preserve">247,01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(106,5% к 2025 году), в 2027 году – 96 293,55 млн рублей (106,7% к 2026 году), в 2028 году – 102 937,81 млн рублей (106,9% к 2027 году).</w:t>
      </w:r>
    </w:p>
    <w:p w14:paraId="1C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Сельское хозяйство</w:t>
      </w:r>
    </w:p>
    <w:p w14:paraId="1E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</w:p>
    <w:p w14:paraId="1F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На территории муниципального образования хозяйственную деятельность осуществляют 7 сельскохозяйственных предприятий и 15 крестьянских (фермерских) хозяйств; зарегистрировано 5018 личных подсобных хозяйств граждан. </w:t>
      </w:r>
    </w:p>
    <w:p w14:paraId="20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По данным Федеральной службы государственной регистрации, кадастра и картографии (Росреестра)  по  Тульской области по состоянию на  01.01.2025 г. </w:t>
      </w:r>
      <w:r>
        <w:rPr>
          <w:rFonts w:ascii="Times New Roman" w:hAnsi="Times New Roman"/>
          <w:color w:val="000000"/>
          <w:sz w:val="26"/>
        </w:rPr>
        <w:t>площадь земель сельхозназначения составила 56 703 га, площадь сельскохозяйственных угодий составила 47 995 га. Площадь пашни -                     39 170 га. Пашня в обработке  – 16527, или 42,2% от площади пашни.</w:t>
      </w:r>
    </w:p>
    <w:p w14:paraId="21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2025 году площади зерновых и зернобобовых культур увеличились на 200 га (или на 2,2%) по сравнению с 2024 годом и составили 9 310 га.   </w:t>
      </w:r>
    </w:p>
    <w:p w14:paraId="22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Площади масличных культур составили 2805 га, что на 402 га (или на 6,7 %) больше, чем в 2024 году.</w:t>
      </w:r>
    </w:p>
    <w:p w14:paraId="2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Площади кормовых культур составили 4350 га, что на 209 га (или на 5,0%) больше аналогичного показателя прошлого года.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Поголовье крупного рогатого скота и коров в том числе,  по сравнению с аналогичным периодом прошлого года уменьшилось соответственно на 116 голов (12,2%) и составило 828   головы, коров - на 32 головы (7,4%) и составило 398  голов.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Поголовье свиней сократилось с 103 до 87 голов (15,5%); овец с 349 до 283 голов (18,9%); птицы - с 9531 до 9 424 голов (1,1%).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Производство молока составило 1889,5   тыс. тонн (92,1 % к уровню 2023 года); производство скота и птицы в живом весе составило 0,395 тыс. тонн (75, % к уровню 2023 года), яиц – 1768,0 тыс. штук (42,6 % к уровню 2023 года). 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Продуктивность коров в сельскохозяйственных предприятиях снизилась на 41% и составила 1583  кг.</w:t>
      </w:r>
    </w:p>
    <w:p w14:paraId="28000000">
      <w:pPr>
        <w:pStyle w:val="Style_2"/>
        <w:tabs>
          <w:tab w:leader="none" w:pos="709" w:val="left"/>
          <w:tab w:leader="none" w:pos="851" w:val="left"/>
        </w:tabs>
        <w:spacing w:after="0" w:before="0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рамках реализации государственной программы Тульской области «Развитие сельского хозяйства Тульской области» за 2024 год 3  организациям агропромышленного комплекса и 2 главам КФХ оказана господдержка на сумму 25 685,6 тыс. руб. </w:t>
      </w:r>
    </w:p>
    <w:p w14:paraId="2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1 квартале 2025 года продолжается сокращение поголовья свиней, КРС и  поголовья птицы, соответственно снижение производства молока, мяса и яиц.</w:t>
      </w:r>
    </w:p>
    <w:p w14:paraId="2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Объем продукции сельского хозяйства в хозяйствах всех категорий за 2024 год по оценке составил 1178,12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рублей, что на 14,07% ниже, чем в 2023 году.</w:t>
      </w:r>
    </w:p>
    <w:p w14:paraId="2B000000">
      <w:pPr>
        <w:pStyle w:val="Style_3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текущем году по оценке планируется произвести сельскохозяйственной продукции в объеме 1193,04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рублей, на 14,92 млн рублей больше, чем в                      2024 году, что, прежде всего, обусловлено положительной динамикой валового сбора зерна и значительной долей в объеме произведенной продукции растениеводства зерновых и зернобобовых культур.</w:t>
      </w:r>
    </w:p>
    <w:p w14:paraId="2C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среднесрочном периоде прогнозируется также положительная динамика, достижение которой возможно при создании благоприятных условий для роста инвестиций в агропромышленный комплекс.</w:t>
      </w:r>
    </w:p>
    <w:p w14:paraId="2D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настоящее время реализуются инвестиционный проект резидентом ТОР ООО «Егнышевские сады» - «Создание плантации голубики» (саженцы высажены на площади 25 га).</w:t>
      </w:r>
    </w:p>
    <w:p w14:paraId="2E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На основании изложенного планируется устойчивая положительная динамика развития муниципального агропромышленного сектора.  </w:t>
      </w:r>
    </w:p>
    <w:p w14:paraId="2F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По прогнозным расчетам объем продукции сельского хозяйствах всех категорий составит: в 2026 году – 1214,17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рублей, в 2027 году – 1243,91 млн рублей, в 2028 году – 1287,97 .</w:t>
      </w:r>
    </w:p>
    <w:p w14:paraId="30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Объем продукции в 2028 году к 2024 году составит 109,32% в действующих ценах.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Средняя заработная плата </w:t>
      </w:r>
    </w:p>
    <w:p w14:paraId="3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3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Среднемесячная номинальная начисленная заработная плата работников крупных и средних предприятий/организаций в 2024 году увеличилась по сравнению с 2023 годом на 13346,60 руб. (или </w:t>
      </w:r>
      <w:r>
        <w:rPr>
          <w:rFonts w:ascii="Times New Roman" w:hAnsi="Times New Roman"/>
          <w:color w:val="000000"/>
          <w:sz w:val="26"/>
        </w:rPr>
        <w:t>на 25,5%) и составила  65673,30 руб.</w:t>
      </w:r>
    </w:p>
    <w:p w14:paraId="3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 оценке в 2025 году среднемесячная заработная плата работников организаций ожидается в размере  84119,58 руб., с ростом к 2024 году на 28,1%.</w:t>
      </w:r>
    </w:p>
    <w:p w14:paraId="3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Ежегодные темпы прироста заработной платы составят: в 2026 году – 13,0%, в </w:t>
      </w:r>
      <w:r>
        <w:rPr>
          <w:rFonts w:ascii="Times New Roman" w:hAnsi="Times New Roman"/>
          <w:color w:val="000000"/>
          <w:sz w:val="26"/>
        </w:rPr>
        <w:t xml:space="preserve">2027 году –104%, в 2028 году –  9,6%. </w:t>
      </w:r>
    </w:p>
    <w:p w14:paraId="3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На рост заработной платы будет влиять увеличение уровня минимальной заработной платы, повышение инвестиционной привлекательности муниципального образования, постепенное развитие промышленного сектора экономики, в том </w:t>
      </w:r>
      <w:r>
        <w:rPr>
          <w:rFonts w:ascii="Times New Roman" w:hAnsi="Times New Roman"/>
          <w:color w:val="000000"/>
          <w:sz w:val="26"/>
        </w:rPr>
        <w:t xml:space="preserve">числе в условиях ТОР «Алексин». </w:t>
      </w:r>
    </w:p>
    <w:p w14:paraId="3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color w:val="000000"/>
          <w:sz w:val="26"/>
        </w:rPr>
        <w:t xml:space="preserve">В </w:t>
      </w:r>
      <w:r>
        <w:rPr>
          <w:rFonts w:ascii="Times New Roman" w:hAnsi="Times New Roman"/>
          <w:color w:val="000000"/>
          <w:sz w:val="26"/>
        </w:rPr>
        <w:t>2028 году уровень заработной платы по муниципальному образованию достигнет  115010,62 руб., с ростом к уровню 2022 года на 148,3%.</w:t>
      </w:r>
    </w:p>
    <w:p w14:paraId="38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Среднесписочная численность работников организаций</w:t>
      </w:r>
    </w:p>
    <w:p w14:paraId="3A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3B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Среднесписочная численность работников</w:t>
      </w:r>
      <w:r>
        <w:rPr>
          <w:rFonts w:ascii="Times New Roman" w:hAnsi="Times New Roman"/>
          <w:color w:val="000000"/>
          <w:sz w:val="26"/>
        </w:rPr>
        <w:t xml:space="preserve"> крупных и средних предприятий (организаций) за 2024 год составила 28823 чел., что на 6674 чел. (или на 30,1%) больше, чем в 2023 году.</w:t>
      </w:r>
    </w:p>
    <w:p w14:paraId="3C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По оценке в 2025 году численность работников составит 28938 чел. В 2026-2028 годах продолжится увеличение численности:</w:t>
      </w:r>
    </w:p>
    <w:p w14:paraId="3D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 xml:space="preserve">в 2026 году данный показатель составит 29172 чел.; </w:t>
      </w:r>
    </w:p>
    <w:p w14:paraId="3E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в 2027 году – 29318 чел.;</w:t>
      </w:r>
    </w:p>
    <w:p w14:paraId="3F000000">
      <w:pPr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в 2028 году – 29436 чел. (на 90,2% больше, чем в 2022 году).</w:t>
      </w:r>
    </w:p>
    <w:p w14:paraId="4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4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Фонд заработной платы</w:t>
      </w:r>
    </w:p>
    <w:p w14:paraId="4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43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Фонд оплаты труда работников крупных и средних предприятий за 2024 год составил 22 714 871,</w:t>
      </w:r>
      <w:r>
        <w:rPr>
          <w:rFonts w:ascii="Times New Roman" w:hAnsi="Times New Roman"/>
          <w:color w:val="000000"/>
          <w:sz w:val="26"/>
        </w:rPr>
        <w:t>30 тыс. руб. (163,3% к уровню 2023 года).</w:t>
      </w:r>
    </w:p>
    <w:p w14:paraId="4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Фонд оплаты труда на период 2026-2028 годов спрогнозирован с учетом повышения заработной платы работников бюджетного и внебюджетного секторов экономики.</w:t>
      </w:r>
    </w:p>
    <w:p w14:paraId="4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Ожидаемый фонд оплаты труда в 2025 году – 29 211 324,49   тыс</w:t>
      </w:r>
      <w:r>
        <w:rPr>
          <w:rFonts w:ascii="Times New Roman" w:hAnsi="Times New Roman"/>
          <w:color w:val="000000"/>
          <w:sz w:val="26"/>
        </w:rPr>
        <w:t>. руб. (128,6% к уровню 2024 года).</w:t>
      </w:r>
    </w:p>
    <w:p w14:paraId="46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Ежегодные темпы прироста фонда оплаты труда составят: </w:t>
      </w:r>
    </w:p>
    <w:p w14:paraId="47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2026 году – 13,9%;</w:t>
      </w:r>
    </w:p>
    <w:p w14:paraId="48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2027 году – 11,0%;</w:t>
      </w:r>
    </w:p>
    <w:p w14:paraId="49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2028 году –10,0%. </w:t>
      </w:r>
    </w:p>
    <w:p w14:paraId="4A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 концу 2028 года фонд оплаты труда увеличится по сравнению с уровнем    2022 года на 472,9</w:t>
      </w:r>
      <w:r>
        <w:rPr>
          <w:rFonts w:ascii="Times New Roman" w:hAnsi="Times New Roman"/>
          <w:color w:val="000000"/>
          <w:sz w:val="26"/>
        </w:rPr>
        <w:t>% и составит 40 624 743,99 тыс. руб.</w:t>
      </w:r>
    </w:p>
    <w:p w14:paraId="4B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4C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Инвестиции </w:t>
      </w:r>
    </w:p>
    <w:p w14:paraId="4D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4E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За 2024 год объем инвестиций в основной капитал за счет всех источников финансирования (без субъектов малого предпринимательства и параметров  </w:t>
      </w:r>
      <w:r>
        <w:rPr>
          <w:rFonts w:ascii="Times New Roman" w:hAnsi="Times New Roman"/>
          <w:color w:val="000000"/>
          <w:sz w:val="26"/>
        </w:rPr>
        <w:t xml:space="preserve">неформальной деятельности) – 9 189,47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(125% к уровню</w:t>
      </w:r>
      <w:r>
        <w:rPr>
          <w:rFonts w:ascii="Times New Roman" w:hAnsi="Times New Roman"/>
          <w:color w:val="000000"/>
          <w:sz w:val="26"/>
        </w:rPr>
        <w:t xml:space="preserve"> 2023 года в действующих ценах). В 2024 году на территории муниципального образования город Алексин реализовывались инвестиционные проекты общей стоимостью                               44,5 </w:t>
      </w:r>
      <w:r>
        <w:rPr>
          <w:rFonts w:ascii="Times New Roman" w:hAnsi="Times New Roman"/>
          <w:color w:val="000000"/>
          <w:sz w:val="26"/>
        </w:rPr>
        <w:t>млрд</w:t>
      </w:r>
      <w:r>
        <w:rPr>
          <w:rFonts w:ascii="Times New Roman" w:hAnsi="Times New Roman"/>
          <w:color w:val="000000"/>
          <w:sz w:val="26"/>
        </w:rPr>
        <w:t xml:space="preserve"> рублей. </w:t>
      </w:r>
    </w:p>
    <w:p w14:paraId="4F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За 1 квартал 2025 года объем инвестиций в основной </w:t>
      </w:r>
      <w:r>
        <w:rPr>
          <w:rFonts w:ascii="Times New Roman" w:hAnsi="Times New Roman"/>
          <w:color w:val="000000"/>
          <w:sz w:val="26"/>
        </w:rPr>
        <w:t xml:space="preserve">капитал за счет всех источников финансирования по крупным и средним предприятиям составил                                      1 403,2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рублей. В 2025 году продолжена реализация инвестиционных проектов действующих промышленных предприятий ФКП «АХК» и АО</w:t>
      </w:r>
      <w:r>
        <w:rPr>
          <w:rFonts w:ascii="Times New Roman" w:hAnsi="Times New Roman"/>
          <w:color w:val="000000"/>
          <w:sz w:val="26"/>
        </w:rPr>
        <w:t xml:space="preserve"> «АОМЗ» и резидентов ТОР «Алексин». По состоянию на 1 июля 2025 года статус резидентов ТОР «Алексин» имели 7 инвесторов. </w:t>
      </w:r>
    </w:p>
    <w:p w14:paraId="50000000">
      <w:pPr>
        <w:pStyle w:val="Style_4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 оценке объем инвестиций в основной капитал за счет всех источников финансирования (без субъектов малого предпринимательства и парам</w:t>
      </w:r>
      <w:r>
        <w:rPr>
          <w:rFonts w:ascii="Times New Roman" w:hAnsi="Times New Roman"/>
          <w:color w:val="000000"/>
          <w:sz w:val="26"/>
        </w:rPr>
        <w:t xml:space="preserve">етров  неформальной деятельности) в 2025 году ожидается в объеме 5 612,88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(61,1% в действующих ценах к уровню 2024 года), прогнозируется в 2026 году –                 5 949,66 млн рублей (106% к 2025 году), в 2027 году – 6 336,38 млн рублей (106</w:t>
      </w:r>
      <w:r>
        <w:rPr>
          <w:rFonts w:ascii="Times New Roman" w:hAnsi="Times New Roman"/>
          <w:color w:val="000000"/>
          <w:sz w:val="26"/>
        </w:rPr>
        <w:t xml:space="preserve">,5% к 2026 году), в 2028 году – 6 779,93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(107% к 2027 году).</w:t>
      </w:r>
    </w:p>
    <w:p w14:paraId="5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5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Финансы предприятий </w:t>
      </w:r>
    </w:p>
    <w:p w14:paraId="5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54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Сальдированный финансовый результат </w:t>
      </w:r>
      <w:r>
        <w:rPr>
          <w:rFonts w:ascii="Times New Roman" w:hAnsi="Times New Roman"/>
          <w:color w:val="000000"/>
          <w:sz w:val="26"/>
        </w:rPr>
        <w:t xml:space="preserve">по всем видам деятельности за 2024 год – прибыль 6 183,9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(на 4,1% лучше положительного финансового результата 2023 года). Такая динамика объясняется ростом в 2024 году прибыли прибыльных предприятий на 3,6% по сравнению с уровнем 2023 года и снижением убытков убыточных предприятий - на 7,3%.</w:t>
      </w:r>
    </w:p>
    <w:p w14:paraId="55000000">
      <w:pPr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>Прибыль приб</w:t>
      </w:r>
      <w:r>
        <w:rPr>
          <w:rFonts w:ascii="Times New Roman" w:hAnsi="Times New Roman"/>
          <w:b w:val="1"/>
          <w:color w:val="000000"/>
          <w:sz w:val="26"/>
        </w:rPr>
        <w:t>ыльных организаций</w:t>
      </w:r>
      <w:r>
        <w:rPr>
          <w:rFonts w:ascii="Times New Roman" w:hAnsi="Times New Roman"/>
          <w:color w:val="000000"/>
          <w:sz w:val="26"/>
        </w:rPr>
        <w:t xml:space="preserve"> для целей бухгалтерского учета                в 2024 году составила 6 432,1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(103,6% к уровню 2023 года). В 2025 году прибыль прибыльных организаций ожидается в объеме 6 721,6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(104,5%  к уровню 2024 года). По мере ст</w:t>
      </w:r>
      <w:r>
        <w:rPr>
          <w:rFonts w:ascii="Times New Roman" w:hAnsi="Times New Roman"/>
          <w:color w:val="000000"/>
          <w:sz w:val="26"/>
        </w:rPr>
        <w:t>абилизации макроэкономической ситуации в течение 2026-2028 гг. и постепенным введением в действие предприятий резидентов ТОР «Алексин» прогнозируется ежегодное увеличение прибыли прибыльных организаций: в 2026 году – на 4,7%, в 2027 году – на 5%, в 2028 го</w:t>
      </w:r>
      <w:r>
        <w:rPr>
          <w:rFonts w:ascii="Times New Roman" w:hAnsi="Times New Roman"/>
          <w:color w:val="000000"/>
          <w:sz w:val="26"/>
        </w:rPr>
        <w:t xml:space="preserve">ду – </w:t>
      </w:r>
      <w:r>
        <w:rPr>
          <w:rFonts w:ascii="Times New Roman" w:hAnsi="Times New Roman"/>
          <w:color w:val="000000"/>
          <w:sz w:val="26"/>
        </w:rPr>
        <w:t>на</w:t>
      </w:r>
      <w:r>
        <w:rPr>
          <w:rFonts w:ascii="Times New Roman" w:hAnsi="Times New Roman"/>
          <w:color w:val="000000"/>
          <w:sz w:val="26"/>
        </w:rPr>
        <w:t xml:space="preserve"> 5,2%. </w:t>
      </w:r>
    </w:p>
    <w:p w14:paraId="56000000">
      <w:pPr>
        <w:pStyle w:val="Style_5"/>
        <w:spacing w:after="0" w:before="0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Убыток убыточных организаций </w:t>
      </w:r>
      <w:r>
        <w:rPr>
          <w:rFonts w:ascii="Times New Roman" w:hAnsi="Times New Roman"/>
          <w:color w:val="000000"/>
          <w:sz w:val="26"/>
        </w:rPr>
        <w:t xml:space="preserve">в 2024 году составил 248,2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 (или 92,7% к уровню 2023 года). По оценке в 2025 году убыток убыточных организаций составит 235,8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рублей. Далее прогнозируется снижение убытков до параметров: 2026 год – </w:t>
      </w:r>
      <w:r>
        <w:rPr>
          <w:rFonts w:ascii="Times New Roman" w:hAnsi="Times New Roman"/>
          <w:color w:val="000000"/>
          <w:sz w:val="26"/>
        </w:rPr>
        <w:t xml:space="preserve">220,5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рублей, 2027 год – 205,0 млн рублей, 2028 год –                                   190,3 млн рублей.</w:t>
      </w:r>
    </w:p>
    <w:p w14:paraId="57000000">
      <w:pPr>
        <w:pStyle w:val="Style_5"/>
        <w:spacing w:after="0" w:before="0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Таким образом, прогнозируемый </w:t>
      </w:r>
      <w:r>
        <w:rPr>
          <w:rFonts w:ascii="Times New Roman" w:hAnsi="Times New Roman"/>
          <w:b w:val="1"/>
          <w:color w:val="000000"/>
          <w:sz w:val="26"/>
        </w:rPr>
        <w:t>финансовый результат</w:t>
      </w:r>
      <w:r>
        <w:rPr>
          <w:rFonts w:ascii="Times New Roman" w:hAnsi="Times New Roman"/>
          <w:color w:val="000000"/>
          <w:sz w:val="26"/>
        </w:rPr>
        <w:t xml:space="preserve"> по всем видам деятельности в 2026 году - прибыль 6 813,6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 xml:space="preserve"> рублей, в 2027 году – прибыль     </w:t>
      </w:r>
      <w:r>
        <w:rPr>
          <w:rFonts w:ascii="Times New Roman" w:hAnsi="Times New Roman"/>
          <w:color w:val="000000"/>
          <w:sz w:val="26"/>
        </w:rPr>
        <w:t xml:space="preserve">         7 180,8 млн рублей, в 2028 году – прибыль 7 579,6 млн рублей.</w:t>
      </w:r>
    </w:p>
    <w:p w14:paraId="58000000">
      <w:pPr>
        <w:pStyle w:val="Style_5"/>
        <w:spacing w:after="0" w:before="0"/>
        <w:ind w:firstLine="0" w:left="0"/>
        <w:jc w:val="center"/>
        <w:rPr>
          <w:rFonts w:ascii="Times New Roman" w:hAnsi="Times New Roman"/>
          <w:color w:val="000000"/>
          <w:sz w:val="26"/>
        </w:rPr>
      </w:pPr>
    </w:p>
    <w:p w14:paraId="59000000">
      <w:pPr>
        <w:pStyle w:val="Style_5"/>
        <w:spacing w:after="0" w:before="0"/>
        <w:ind w:firstLine="0" w:left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_______________________________________ </w:t>
      </w:r>
    </w:p>
    <w:p w14:paraId="5A000000">
      <w:pPr>
        <w:pStyle w:val="Style_5"/>
        <w:spacing w:after="0" w:before="0"/>
        <w:ind w:firstLine="0" w:left="0"/>
        <w:jc w:val="center"/>
        <w:rPr>
          <w:rFonts w:ascii="Times New Roman" w:hAnsi="Times New Roman"/>
          <w:color w:val="000000"/>
          <w:sz w:val="26"/>
        </w:rPr>
      </w:pPr>
    </w:p>
    <w:sectPr>
      <w:headerReference r:id="rId1" w:type="default"/>
      <w:pgSz w:h="16838" w:orient="portrait" w:w="11906"/>
      <w:pgMar w:bottom="851" w:footer="709" w:gutter="0" w:header="709" w:left="1418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200" w:line="276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8" w:type="paragraph">
    <w:name w:val="toc 4"/>
    <w:next w:val="Style_6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6"/>
    <w:link w:val="Style_13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13_ch" w:type="character">
    <w:name w:val="List Paragraph"/>
    <w:basedOn w:val="Style_6_ch"/>
    <w:link w:val="Style_13"/>
    <w:rPr>
      <w:rFonts w:ascii="Times New Roman" w:hAnsi="Times New Roman"/>
      <w:sz w:val="20"/>
    </w:rPr>
  </w:style>
  <w:style w:styleId="Style_14" w:type="paragraph">
    <w:name w:val="Обычный1"/>
    <w:link w:val="Style_14_ch"/>
    <w:rPr>
      <w:sz w:val="22"/>
    </w:rPr>
  </w:style>
  <w:style w:styleId="Style_14_ch" w:type="character">
    <w:name w:val="Обычный1"/>
    <w:link w:val="Style_14"/>
    <w:rPr>
      <w:sz w:val="22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" w:type="paragraph">
    <w:name w:val="Заголовок"/>
    <w:basedOn w:val="Style_6"/>
    <w:next w:val="Style_3"/>
    <w:link w:val="Style_2_ch"/>
    <w:pPr>
      <w:keepNext w:val="1"/>
      <w:spacing w:after="120" w:before="240" w:line="240" w:lineRule="auto"/>
      <w:ind/>
    </w:pPr>
    <w:rPr>
      <w:rFonts w:ascii="Arial" w:hAnsi="Arial"/>
      <w:sz w:val="28"/>
    </w:rPr>
  </w:style>
  <w:style w:styleId="Style_2_ch" w:type="character">
    <w:name w:val="Заголовок"/>
    <w:basedOn w:val="Style_6_ch"/>
    <w:link w:val="Style_2"/>
    <w:rPr>
      <w:rFonts w:ascii="Arial" w:hAnsi="Arial"/>
      <w:sz w:val="28"/>
    </w:rPr>
  </w:style>
  <w:style w:styleId="Style_19" w:type="paragraph">
    <w:name w:val="footer"/>
    <w:basedOn w:val="Style_6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6_ch"/>
    <w:link w:val="Style_19"/>
  </w:style>
  <w:style w:styleId="Style_20" w:type="paragraph">
    <w:name w:val="toc 3"/>
    <w:next w:val="Style_6"/>
    <w:link w:val="Style_20_ch"/>
    <w:uiPriority w:val="39"/>
    <w:pPr>
      <w:ind w:firstLine="0" w:left="400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3" w:type="paragraph">
    <w:name w:val="Body Text"/>
    <w:basedOn w:val="Style_6"/>
    <w:link w:val="Style_3_ch"/>
    <w:pPr>
      <w:spacing w:after="0" w:line="240" w:lineRule="auto"/>
      <w:ind/>
    </w:pPr>
    <w:rPr>
      <w:sz w:val="24"/>
    </w:rPr>
  </w:style>
  <w:style w:styleId="Style_3_ch" w:type="character">
    <w:name w:val="Body Text"/>
    <w:basedOn w:val="Style_6_ch"/>
    <w:link w:val="Style_3"/>
    <w:rPr>
      <w:sz w:val="24"/>
    </w:rPr>
  </w:style>
  <w:style w:styleId="Style_21" w:type="paragraph">
    <w:name w:val="Содержимое таблицы"/>
    <w:basedOn w:val="Style_6"/>
    <w:link w:val="Style_21_ch"/>
    <w:pPr>
      <w:spacing w:after="0" w:line="240" w:lineRule="auto"/>
      <w:ind/>
    </w:pPr>
    <w:rPr>
      <w:sz w:val="24"/>
    </w:rPr>
  </w:style>
  <w:style w:styleId="Style_21_ch" w:type="character">
    <w:name w:val="Содержимое таблицы"/>
    <w:basedOn w:val="Style_6_ch"/>
    <w:link w:val="Style_21"/>
    <w:rPr>
      <w:sz w:val="24"/>
    </w:rPr>
  </w:style>
  <w:style w:styleId="Style_5" w:type="paragraph">
    <w:name w:val="Normal (Web)"/>
    <w:basedOn w:val="Style_6"/>
    <w:link w:val="Style_5_ch"/>
    <w:pPr>
      <w:spacing w:after="119" w:before="100" w:line="240" w:lineRule="auto"/>
      <w:ind/>
    </w:pPr>
    <w:rPr>
      <w:sz w:val="24"/>
    </w:rPr>
  </w:style>
  <w:style w:styleId="Style_5_ch" w:type="character">
    <w:name w:val="Normal (Web)"/>
    <w:basedOn w:val="Style_6_ch"/>
    <w:link w:val="Style_5"/>
    <w:rPr>
      <w:sz w:val="24"/>
    </w:rPr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6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toc 9"/>
    <w:next w:val="Style_6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Основной текст 21"/>
    <w:basedOn w:val="Style_6"/>
    <w:link w:val="Style_30_ch"/>
    <w:pPr>
      <w:spacing w:after="0" w:line="240" w:lineRule="auto"/>
      <w:ind/>
      <w:jc w:val="both"/>
    </w:pPr>
    <w:rPr>
      <w:sz w:val="28"/>
    </w:rPr>
  </w:style>
  <w:style w:styleId="Style_30_ch" w:type="character">
    <w:name w:val="Основной текст 21"/>
    <w:basedOn w:val="Style_6_ch"/>
    <w:link w:val="Style_30"/>
    <w:rPr>
      <w:sz w:val="28"/>
    </w:rPr>
  </w:style>
  <w:style w:styleId="Style_31" w:type="paragraph">
    <w:name w:val="toc 5"/>
    <w:next w:val="Style_6"/>
    <w:link w:val="Style_31_ch"/>
    <w:uiPriority w:val="39"/>
    <w:pPr>
      <w:ind w:firstLine="0"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6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6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Обычный1"/>
    <w:link w:val="Style_35_ch"/>
    <w:rPr>
      <w:sz w:val="22"/>
    </w:rPr>
  </w:style>
  <w:style w:styleId="Style_35_ch" w:type="character">
    <w:name w:val="Обычный1"/>
    <w:link w:val="Style_35"/>
    <w:rPr>
      <w:sz w:val="22"/>
    </w:rPr>
  </w:style>
  <w:style w:styleId="Style_4" w:type="paragraph">
    <w:name w:val="ConsPlusNormal"/>
    <w:link w:val="Style_4_ch"/>
    <w:pPr>
      <w:widowControl w:val="0"/>
      <w:ind w:firstLine="720" w:left="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36" w:type="paragraph">
    <w:name w:val="heading 2"/>
    <w:next w:val="Style_6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Основной шрифт абзаца2"/>
    <w:link w:val="Style_37_ch"/>
  </w:style>
  <w:style w:styleId="Style_37_ch" w:type="character">
    <w:name w:val="Основной шрифт абзаца2"/>
    <w:link w:val="Style_37"/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" w:type="table">
    <w:name w:val="Table Grid"/>
    <w:basedOn w:val="Style_3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2025-08-07T14:42:43Z</dcterms:modified>
</cp:coreProperties>
</file>